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55" w:rsidRPr="00C17967" w:rsidRDefault="007A1055" w:rsidP="007A1055">
      <w:pPr>
        <w:jc w:val="center"/>
        <w:rPr>
          <w:b/>
          <w:sz w:val="22"/>
          <w:szCs w:val="22"/>
        </w:rPr>
      </w:pPr>
      <w:r w:rsidRPr="00C17967">
        <w:rPr>
          <w:b/>
          <w:sz w:val="22"/>
          <w:szCs w:val="22"/>
        </w:rPr>
        <w:t>EDITAL n. 1</w:t>
      </w:r>
      <w:r w:rsidR="00292E5C" w:rsidRPr="00C17967">
        <w:rPr>
          <w:b/>
          <w:sz w:val="22"/>
          <w:szCs w:val="22"/>
        </w:rPr>
        <w:t>8</w:t>
      </w:r>
      <w:r w:rsidR="000D286E" w:rsidRPr="00C17967">
        <w:rPr>
          <w:b/>
          <w:sz w:val="22"/>
          <w:szCs w:val="22"/>
        </w:rPr>
        <w:t>6</w:t>
      </w:r>
      <w:r w:rsidRPr="00C17967">
        <w:rPr>
          <w:b/>
          <w:sz w:val="22"/>
          <w:szCs w:val="22"/>
        </w:rPr>
        <w:t>/201</w:t>
      </w:r>
      <w:r w:rsidR="009E6CB5" w:rsidRPr="00C17967">
        <w:rPr>
          <w:b/>
          <w:sz w:val="22"/>
          <w:szCs w:val="22"/>
        </w:rPr>
        <w:t>2</w:t>
      </w:r>
      <w:r w:rsidRPr="00C17967">
        <w:rPr>
          <w:b/>
          <w:sz w:val="22"/>
          <w:szCs w:val="22"/>
        </w:rPr>
        <w:t xml:space="preserve"> - SAD/SANESUL</w:t>
      </w:r>
    </w:p>
    <w:p w:rsidR="007A1055" w:rsidRPr="00C17967" w:rsidRDefault="007A1055" w:rsidP="007A1055">
      <w:pPr>
        <w:jc w:val="center"/>
        <w:outlineLvl w:val="0"/>
        <w:rPr>
          <w:b/>
          <w:sz w:val="22"/>
          <w:szCs w:val="22"/>
        </w:rPr>
      </w:pPr>
      <w:r w:rsidRPr="00C17967">
        <w:rPr>
          <w:b/>
          <w:sz w:val="22"/>
          <w:szCs w:val="22"/>
        </w:rPr>
        <w:t>CONCURSO PÚBLICO DE PROVAS E TÍTULOS/SANESUL</w:t>
      </w:r>
    </w:p>
    <w:p w:rsidR="007A1055" w:rsidRPr="00C17967" w:rsidRDefault="007A1055" w:rsidP="007A1055">
      <w:pPr>
        <w:ind w:firstLine="1701"/>
        <w:jc w:val="both"/>
        <w:rPr>
          <w:sz w:val="22"/>
          <w:szCs w:val="22"/>
        </w:rPr>
      </w:pPr>
    </w:p>
    <w:p w:rsidR="00DB7C8F" w:rsidRPr="00C17967" w:rsidRDefault="00DB7C8F" w:rsidP="00DB7C8F">
      <w:pPr>
        <w:spacing w:after="200"/>
        <w:ind w:firstLine="1701"/>
        <w:jc w:val="both"/>
        <w:rPr>
          <w:spacing w:val="-2"/>
          <w:sz w:val="22"/>
          <w:szCs w:val="22"/>
        </w:rPr>
      </w:pPr>
      <w:r w:rsidRPr="00C17967">
        <w:rPr>
          <w:spacing w:val="-2"/>
          <w:sz w:val="22"/>
          <w:szCs w:val="22"/>
        </w:rPr>
        <w:t xml:space="preserve">A </w:t>
      </w:r>
      <w:r w:rsidRPr="00C17967">
        <w:rPr>
          <w:b/>
          <w:spacing w:val="-2"/>
          <w:sz w:val="22"/>
          <w:szCs w:val="22"/>
        </w:rPr>
        <w:t>SECRETÁRIA DE ESTADO DE ADMINISTRAÇÃO</w:t>
      </w:r>
      <w:r w:rsidRPr="00C17967">
        <w:rPr>
          <w:spacing w:val="-2"/>
          <w:sz w:val="22"/>
          <w:szCs w:val="22"/>
        </w:rPr>
        <w:t xml:space="preserve"> e o </w:t>
      </w:r>
      <w:r w:rsidRPr="00C17967">
        <w:rPr>
          <w:b/>
          <w:spacing w:val="-2"/>
          <w:sz w:val="22"/>
          <w:szCs w:val="22"/>
        </w:rPr>
        <w:t>DIRETOR-PRESIDENTE DA EMPRESA DE SANEAMENTO DE MATO GROSSO DO SUL S/A</w:t>
      </w:r>
      <w:r w:rsidRPr="00C17967">
        <w:rPr>
          <w:spacing w:val="-2"/>
          <w:sz w:val="22"/>
          <w:szCs w:val="22"/>
        </w:rPr>
        <w:t xml:space="preserve">, no uso de suas atribuições legais e tendo em vista o disposto no Edital n. 1/2009 - SAD/ESCOLAGOV/SANESUL, de 29 de dezembro de 2009, tornam público, para conhecimento dos interessados, o </w:t>
      </w:r>
      <w:r w:rsidRPr="00C17967">
        <w:rPr>
          <w:b/>
          <w:spacing w:val="-2"/>
          <w:sz w:val="22"/>
          <w:szCs w:val="22"/>
        </w:rPr>
        <w:t>resultado do Exame de Aptidão Mental (Exame Psicotécnico)</w:t>
      </w:r>
      <w:r w:rsidRPr="00C17967">
        <w:rPr>
          <w:spacing w:val="-2"/>
          <w:sz w:val="22"/>
          <w:szCs w:val="22"/>
        </w:rPr>
        <w:t>, realizado nos dias 8 e 11 de junho de 2012, conforme constante no anexo único a este Edital, observando-se:</w:t>
      </w:r>
    </w:p>
    <w:p w:rsidR="00DB7C8F" w:rsidRPr="00C17967" w:rsidRDefault="00DB7C8F" w:rsidP="00DB7C8F">
      <w:pPr>
        <w:spacing w:after="200"/>
        <w:ind w:firstLine="1701"/>
        <w:jc w:val="both"/>
        <w:rPr>
          <w:sz w:val="22"/>
          <w:szCs w:val="22"/>
        </w:rPr>
      </w:pPr>
      <w:r w:rsidRPr="00C17967">
        <w:rPr>
          <w:b/>
          <w:sz w:val="22"/>
          <w:szCs w:val="22"/>
        </w:rPr>
        <w:t>I -</w:t>
      </w:r>
      <w:r w:rsidRPr="00C17967">
        <w:rPr>
          <w:sz w:val="22"/>
          <w:szCs w:val="22"/>
        </w:rPr>
        <w:t xml:space="preserve"> o resultado do Exame de Aptidão Mental (Exame Psicotécnico) será expresso pelos conceitos:</w:t>
      </w:r>
    </w:p>
    <w:p w:rsidR="00DB7C8F" w:rsidRPr="00C17967" w:rsidRDefault="00DB7C8F" w:rsidP="00DB7C8F">
      <w:pPr>
        <w:spacing w:after="200"/>
        <w:ind w:left="2268" w:hanging="252"/>
        <w:jc w:val="both"/>
        <w:rPr>
          <w:sz w:val="22"/>
          <w:szCs w:val="22"/>
        </w:rPr>
      </w:pPr>
      <w:proofErr w:type="gramStart"/>
      <w:r w:rsidRPr="00C17967">
        <w:rPr>
          <w:sz w:val="22"/>
          <w:szCs w:val="22"/>
        </w:rPr>
        <w:t>a</w:t>
      </w:r>
      <w:proofErr w:type="gramEnd"/>
      <w:r w:rsidRPr="00C17967">
        <w:rPr>
          <w:sz w:val="22"/>
          <w:szCs w:val="22"/>
        </w:rPr>
        <w:t>)</w:t>
      </w:r>
      <w:r w:rsidRPr="00C17967">
        <w:rPr>
          <w:sz w:val="22"/>
          <w:szCs w:val="22"/>
        </w:rPr>
        <w:tab/>
      </w:r>
      <w:r w:rsidRPr="00C17967">
        <w:rPr>
          <w:b/>
          <w:sz w:val="22"/>
          <w:szCs w:val="22"/>
        </w:rPr>
        <w:t>Apto</w:t>
      </w:r>
      <w:r w:rsidRPr="00C17967">
        <w:rPr>
          <w:sz w:val="22"/>
          <w:szCs w:val="22"/>
        </w:rPr>
        <w:t>: significando que o candidato apresentou perfil psicológico profissional para o desempenho no emprego;</w:t>
      </w:r>
    </w:p>
    <w:p w:rsidR="00DB7C8F" w:rsidRPr="00C17967" w:rsidRDefault="00DB7C8F" w:rsidP="00DB7C8F">
      <w:pPr>
        <w:spacing w:after="200"/>
        <w:ind w:left="2268" w:hanging="252"/>
        <w:jc w:val="both"/>
        <w:rPr>
          <w:sz w:val="22"/>
          <w:szCs w:val="22"/>
        </w:rPr>
      </w:pPr>
      <w:proofErr w:type="gramStart"/>
      <w:r w:rsidRPr="00C17967">
        <w:rPr>
          <w:sz w:val="22"/>
          <w:szCs w:val="22"/>
        </w:rPr>
        <w:t>b)</w:t>
      </w:r>
      <w:proofErr w:type="gramEnd"/>
      <w:r w:rsidRPr="00C17967">
        <w:rPr>
          <w:sz w:val="22"/>
          <w:szCs w:val="22"/>
        </w:rPr>
        <w:tab/>
      </w:r>
      <w:r w:rsidRPr="00C17967">
        <w:rPr>
          <w:b/>
          <w:sz w:val="22"/>
          <w:szCs w:val="22"/>
        </w:rPr>
        <w:t>Inapto</w:t>
      </w:r>
      <w:r w:rsidRPr="00C17967">
        <w:rPr>
          <w:sz w:val="22"/>
          <w:szCs w:val="22"/>
        </w:rPr>
        <w:t>: significando que o candidato não apresentou perfil psicológico profissional para o desempenho no emprego,</w:t>
      </w:r>
      <w:r w:rsidR="00CD0A15" w:rsidRPr="00C17967">
        <w:rPr>
          <w:sz w:val="22"/>
          <w:szCs w:val="22"/>
        </w:rPr>
        <w:t xml:space="preserve"> sendo assim considerado contra</w:t>
      </w:r>
      <w:r w:rsidRPr="00C17967">
        <w:rPr>
          <w:sz w:val="22"/>
          <w:szCs w:val="22"/>
        </w:rPr>
        <w:t>indicado.</w:t>
      </w:r>
    </w:p>
    <w:p w:rsidR="00DB7C8F" w:rsidRPr="00C17967" w:rsidRDefault="00DB7C8F" w:rsidP="00DB7C8F">
      <w:pPr>
        <w:ind w:firstLine="1701"/>
        <w:jc w:val="both"/>
        <w:rPr>
          <w:sz w:val="22"/>
          <w:szCs w:val="22"/>
        </w:rPr>
      </w:pPr>
      <w:r w:rsidRPr="00C17967">
        <w:rPr>
          <w:b/>
          <w:sz w:val="22"/>
          <w:szCs w:val="22"/>
        </w:rPr>
        <w:t>II -</w:t>
      </w:r>
      <w:r w:rsidRPr="00C17967">
        <w:rPr>
          <w:sz w:val="22"/>
          <w:szCs w:val="22"/>
        </w:rPr>
        <w:t xml:space="preserve"> a inaptidão no Exame de Aptidão Mental (Exame Psicotécnico) não pressupõe a existência de transtornos mentais. Indica, tão somente, que o avaliado não atende aos parâmetros exigidos para o desempenho do emprego público.</w:t>
      </w:r>
    </w:p>
    <w:p w:rsidR="00DB7C8F" w:rsidRPr="00C17967" w:rsidRDefault="00DB7C8F" w:rsidP="00DB7C8F">
      <w:pPr>
        <w:ind w:firstLine="1701"/>
        <w:jc w:val="both"/>
        <w:rPr>
          <w:sz w:val="22"/>
          <w:szCs w:val="22"/>
        </w:rPr>
      </w:pPr>
    </w:p>
    <w:p w:rsidR="00DB7C8F" w:rsidRPr="00C17967" w:rsidRDefault="00DB7C8F" w:rsidP="00DB7C8F">
      <w:pPr>
        <w:pStyle w:val="Recuodecorpodetexto"/>
        <w:ind w:firstLine="1701"/>
        <w:rPr>
          <w:b/>
          <w:sz w:val="22"/>
          <w:szCs w:val="22"/>
        </w:rPr>
      </w:pPr>
      <w:r w:rsidRPr="00C17967">
        <w:rPr>
          <w:b/>
          <w:sz w:val="22"/>
          <w:szCs w:val="22"/>
        </w:rPr>
        <w:t>CAMPO GRANDE-MS, 15 DE JUNHO DE 2012.</w:t>
      </w:r>
    </w:p>
    <w:p w:rsidR="00DB7C8F" w:rsidRPr="00C17967" w:rsidRDefault="00DB7C8F" w:rsidP="00DB7C8F">
      <w:pPr>
        <w:ind w:firstLine="1701"/>
        <w:jc w:val="center"/>
        <w:rPr>
          <w:sz w:val="22"/>
          <w:szCs w:val="22"/>
        </w:rPr>
      </w:pPr>
    </w:p>
    <w:p w:rsidR="00DB7C8F" w:rsidRPr="00C17967" w:rsidRDefault="00DB7C8F" w:rsidP="00DB7C8F">
      <w:pPr>
        <w:ind w:firstLine="1701"/>
        <w:jc w:val="center"/>
        <w:rPr>
          <w:sz w:val="22"/>
          <w:szCs w:val="22"/>
        </w:rPr>
      </w:pPr>
    </w:p>
    <w:p w:rsidR="00DB7C8F" w:rsidRPr="00C17967" w:rsidRDefault="00DB7C8F" w:rsidP="00DB7C8F">
      <w:pPr>
        <w:ind w:firstLine="1701"/>
        <w:jc w:val="center"/>
        <w:rPr>
          <w:sz w:val="22"/>
          <w:szCs w:val="22"/>
        </w:rPr>
      </w:pPr>
    </w:p>
    <w:p w:rsidR="00DB7C8F" w:rsidRPr="00C17967" w:rsidRDefault="00DB7C8F" w:rsidP="00DB7C8F">
      <w:pPr>
        <w:ind w:firstLine="1701"/>
        <w:jc w:val="center"/>
        <w:rPr>
          <w:sz w:val="22"/>
          <w:szCs w:val="22"/>
        </w:rPr>
      </w:pPr>
    </w:p>
    <w:p w:rsidR="00DB7C8F" w:rsidRPr="00C17967" w:rsidRDefault="00DB7C8F" w:rsidP="00DB7C8F">
      <w:pPr>
        <w:ind w:firstLine="1701"/>
        <w:jc w:val="center"/>
        <w:rPr>
          <w:b/>
          <w:sz w:val="22"/>
          <w:szCs w:val="22"/>
        </w:rPr>
      </w:pPr>
      <w:r w:rsidRPr="00C17967">
        <w:rPr>
          <w:b/>
          <w:bCs/>
          <w:sz w:val="22"/>
          <w:szCs w:val="22"/>
        </w:rPr>
        <w:t>THIE HIGUCHI VIEGAS DOS SANTOS</w:t>
      </w:r>
    </w:p>
    <w:p w:rsidR="00DB7C8F" w:rsidRPr="00C17967" w:rsidRDefault="00DB7C8F" w:rsidP="00DB7C8F">
      <w:pPr>
        <w:ind w:firstLine="1701"/>
        <w:jc w:val="center"/>
        <w:rPr>
          <w:b/>
          <w:sz w:val="22"/>
          <w:szCs w:val="22"/>
        </w:rPr>
      </w:pPr>
      <w:r w:rsidRPr="00C17967">
        <w:rPr>
          <w:b/>
          <w:sz w:val="22"/>
          <w:szCs w:val="22"/>
        </w:rPr>
        <w:t xml:space="preserve">Secretária de Estado de Administração </w:t>
      </w:r>
    </w:p>
    <w:p w:rsidR="00DB7C8F" w:rsidRPr="00C17967" w:rsidRDefault="00DB7C8F" w:rsidP="00DB7C8F">
      <w:pPr>
        <w:ind w:firstLine="1701"/>
        <w:jc w:val="center"/>
        <w:rPr>
          <w:sz w:val="22"/>
          <w:szCs w:val="22"/>
        </w:rPr>
      </w:pPr>
    </w:p>
    <w:p w:rsidR="00DB7C8F" w:rsidRPr="00C17967" w:rsidRDefault="00DB7C8F" w:rsidP="00DB7C8F">
      <w:pPr>
        <w:ind w:firstLine="1701"/>
        <w:jc w:val="center"/>
        <w:rPr>
          <w:sz w:val="22"/>
          <w:szCs w:val="22"/>
        </w:rPr>
      </w:pPr>
    </w:p>
    <w:p w:rsidR="00DB7C8F" w:rsidRPr="00C17967" w:rsidRDefault="00DB7C8F" w:rsidP="00DB7C8F">
      <w:pPr>
        <w:ind w:firstLine="1701"/>
        <w:jc w:val="center"/>
        <w:rPr>
          <w:sz w:val="22"/>
          <w:szCs w:val="22"/>
        </w:rPr>
      </w:pPr>
    </w:p>
    <w:p w:rsidR="00DB7C8F" w:rsidRPr="00C17967" w:rsidRDefault="00DB7C8F" w:rsidP="00DB7C8F">
      <w:pPr>
        <w:ind w:firstLine="1701"/>
        <w:jc w:val="center"/>
        <w:rPr>
          <w:sz w:val="22"/>
          <w:szCs w:val="22"/>
        </w:rPr>
      </w:pPr>
    </w:p>
    <w:p w:rsidR="00DB7C8F" w:rsidRPr="00C17967" w:rsidRDefault="00DB7C8F" w:rsidP="00DB7C8F">
      <w:pPr>
        <w:ind w:firstLine="1701"/>
        <w:jc w:val="center"/>
        <w:rPr>
          <w:b/>
          <w:sz w:val="22"/>
          <w:szCs w:val="22"/>
        </w:rPr>
      </w:pPr>
      <w:r w:rsidRPr="00C17967">
        <w:rPr>
          <w:b/>
          <w:sz w:val="22"/>
          <w:szCs w:val="22"/>
        </w:rPr>
        <w:t xml:space="preserve">JOSÉ CARLOS BARBOSA </w:t>
      </w:r>
    </w:p>
    <w:p w:rsidR="00DB7C8F" w:rsidRPr="00C17967" w:rsidRDefault="00DB7C8F" w:rsidP="00DB7C8F">
      <w:pPr>
        <w:ind w:firstLine="1701"/>
        <w:jc w:val="center"/>
        <w:rPr>
          <w:b/>
          <w:spacing w:val="-2"/>
          <w:sz w:val="22"/>
          <w:szCs w:val="22"/>
        </w:rPr>
      </w:pPr>
      <w:r w:rsidRPr="00C17967">
        <w:rPr>
          <w:b/>
          <w:sz w:val="22"/>
          <w:szCs w:val="22"/>
        </w:rPr>
        <w:t xml:space="preserve">Diretor-Presidente da </w:t>
      </w:r>
      <w:r w:rsidRPr="00C17967">
        <w:rPr>
          <w:b/>
          <w:spacing w:val="-2"/>
          <w:sz w:val="22"/>
          <w:szCs w:val="22"/>
        </w:rPr>
        <w:t xml:space="preserve">Empresa de Saneamento </w:t>
      </w:r>
    </w:p>
    <w:p w:rsidR="00DB7C8F" w:rsidRPr="00C17967" w:rsidRDefault="00DB7C8F" w:rsidP="00DB7C8F">
      <w:pPr>
        <w:ind w:firstLine="1701"/>
        <w:jc w:val="center"/>
        <w:rPr>
          <w:b/>
          <w:spacing w:val="-2"/>
          <w:sz w:val="22"/>
          <w:szCs w:val="22"/>
        </w:rPr>
      </w:pPr>
      <w:proofErr w:type="gramStart"/>
      <w:r w:rsidRPr="00C17967">
        <w:rPr>
          <w:b/>
          <w:spacing w:val="-2"/>
          <w:sz w:val="22"/>
          <w:szCs w:val="22"/>
        </w:rPr>
        <w:t>de</w:t>
      </w:r>
      <w:proofErr w:type="gramEnd"/>
      <w:r w:rsidRPr="00C17967">
        <w:rPr>
          <w:b/>
          <w:spacing w:val="-2"/>
          <w:sz w:val="22"/>
          <w:szCs w:val="22"/>
        </w:rPr>
        <w:t xml:space="preserve"> Mato Grosso do Sul S/A</w:t>
      </w:r>
    </w:p>
    <w:p w:rsidR="00C17967" w:rsidRDefault="00C17967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7A1055" w:rsidRPr="00C17967" w:rsidRDefault="007A1055" w:rsidP="007A1055">
      <w:pPr>
        <w:rPr>
          <w:b/>
          <w:sz w:val="22"/>
          <w:szCs w:val="22"/>
        </w:rPr>
      </w:pPr>
      <w:r w:rsidRPr="00C17967">
        <w:rPr>
          <w:b/>
          <w:sz w:val="22"/>
          <w:szCs w:val="22"/>
        </w:rPr>
        <w:lastRenderedPageBreak/>
        <w:t>ANEXO ÚNICO AO EDITAL n. 1</w:t>
      </w:r>
      <w:r w:rsidR="00292E5C" w:rsidRPr="00C17967">
        <w:rPr>
          <w:b/>
          <w:sz w:val="22"/>
          <w:szCs w:val="22"/>
        </w:rPr>
        <w:t>8</w:t>
      </w:r>
      <w:r w:rsidR="000D286E" w:rsidRPr="00C17967">
        <w:rPr>
          <w:b/>
          <w:sz w:val="22"/>
          <w:szCs w:val="22"/>
        </w:rPr>
        <w:t>6</w:t>
      </w:r>
      <w:r w:rsidRPr="00C17967">
        <w:rPr>
          <w:b/>
          <w:sz w:val="22"/>
          <w:szCs w:val="22"/>
        </w:rPr>
        <w:t>/201</w:t>
      </w:r>
      <w:r w:rsidR="009E6CB5" w:rsidRPr="00C17967">
        <w:rPr>
          <w:b/>
          <w:sz w:val="22"/>
          <w:szCs w:val="22"/>
        </w:rPr>
        <w:t>2</w:t>
      </w:r>
      <w:r w:rsidRPr="00C17967">
        <w:rPr>
          <w:b/>
          <w:sz w:val="22"/>
          <w:szCs w:val="22"/>
        </w:rPr>
        <w:t xml:space="preserve"> - SAD/SANESUL</w:t>
      </w:r>
    </w:p>
    <w:p w:rsidR="007A1055" w:rsidRDefault="007A1055" w:rsidP="007A1055">
      <w:pPr>
        <w:outlineLvl w:val="0"/>
        <w:rPr>
          <w:b/>
          <w:sz w:val="22"/>
          <w:szCs w:val="22"/>
        </w:rPr>
      </w:pPr>
      <w:r w:rsidRPr="00C17967">
        <w:rPr>
          <w:b/>
          <w:sz w:val="22"/>
          <w:szCs w:val="22"/>
        </w:rPr>
        <w:t>CONCURSO PÚBLICO DE PROVAS E TÍTULOS/SANESUL</w:t>
      </w:r>
    </w:p>
    <w:p w:rsidR="00A44F98" w:rsidRPr="00C17967" w:rsidRDefault="00A44F98" w:rsidP="007A1055">
      <w:pPr>
        <w:outlineLvl w:val="0"/>
        <w:rPr>
          <w:b/>
          <w:sz w:val="22"/>
          <w:szCs w:val="22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52"/>
        <w:gridCol w:w="1984"/>
        <w:gridCol w:w="1276"/>
        <w:gridCol w:w="1559"/>
        <w:gridCol w:w="1134"/>
      </w:tblGrid>
      <w:tr w:rsidR="00DB7C8F" w:rsidRPr="00C17967" w:rsidTr="00A44F98">
        <w:trPr>
          <w:cantSplit/>
          <w:tblHeader/>
        </w:trPr>
        <w:tc>
          <w:tcPr>
            <w:tcW w:w="2552" w:type="dxa"/>
            <w:shd w:val="clear" w:color="auto" w:fill="FFFFFF"/>
            <w:noWrap/>
            <w:vAlign w:val="center"/>
            <w:hideMark/>
          </w:tcPr>
          <w:p w:rsidR="00DB7C8F" w:rsidRPr="00C17967" w:rsidRDefault="00A44F98" w:rsidP="00A44F98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C17967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984" w:type="dxa"/>
            <w:shd w:val="clear" w:color="auto" w:fill="FFFFFF"/>
            <w:noWrap/>
            <w:vAlign w:val="center"/>
            <w:hideMark/>
          </w:tcPr>
          <w:p w:rsidR="00DB7C8F" w:rsidRPr="00C17967" w:rsidRDefault="00A44F98" w:rsidP="00A44F98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C17967">
              <w:rPr>
                <w:b/>
                <w:bCs/>
                <w:sz w:val="20"/>
                <w:szCs w:val="20"/>
              </w:rPr>
              <w:t>Emprego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:rsidR="00DB7C8F" w:rsidRPr="00C17967" w:rsidRDefault="00A44F98" w:rsidP="00A44F98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C17967">
              <w:rPr>
                <w:b/>
                <w:bCs/>
                <w:sz w:val="20"/>
                <w:szCs w:val="20"/>
              </w:rPr>
              <w:t>Class</w:t>
            </w:r>
            <w:r>
              <w:rPr>
                <w:b/>
                <w:bCs/>
                <w:sz w:val="20"/>
                <w:szCs w:val="20"/>
              </w:rPr>
              <w:t>ificação</w:t>
            </w:r>
          </w:p>
        </w:tc>
        <w:tc>
          <w:tcPr>
            <w:tcW w:w="1559" w:type="dxa"/>
            <w:shd w:val="clear" w:color="auto" w:fill="FFFFFF"/>
            <w:noWrap/>
            <w:vAlign w:val="center"/>
            <w:hideMark/>
          </w:tcPr>
          <w:p w:rsidR="00DB7C8F" w:rsidRPr="00C17967" w:rsidRDefault="00A44F98" w:rsidP="00A44F98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C17967">
              <w:rPr>
                <w:b/>
                <w:bCs/>
                <w:sz w:val="20"/>
                <w:szCs w:val="20"/>
              </w:rPr>
              <w:t>Localidade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B7C8F" w:rsidRPr="00C17967" w:rsidRDefault="00A44F98" w:rsidP="00A44F98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C17967">
              <w:rPr>
                <w:b/>
                <w:bCs/>
                <w:sz w:val="20"/>
                <w:szCs w:val="20"/>
              </w:rPr>
              <w:t>Resultado</w:t>
            </w:r>
          </w:p>
        </w:tc>
      </w:tr>
      <w:tr w:rsidR="00DB7C8F" w:rsidRPr="00C17967" w:rsidTr="00A44F98">
        <w:tblPrEx>
          <w:tblLook w:val="0000"/>
        </w:tblPrEx>
        <w:trPr>
          <w:cantSplit/>
        </w:trPr>
        <w:tc>
          <w:tcPr>
            <w:tcW w:w="2552" w:type="dxa"/>
            <w:noWrap/>
            <w:vAlign w:val="center"/>
          </w:tcPr>
          <w:p w:rsidR="00DB7C8F" w:rsidRPr="00C17967" w:rsidRDefault="00DB7C8F" w:rsidP="00A44F98">
            <w:pPr>
              <w:ind w:left="-28" w:right="-28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Antonio de Paula Filho</w:t>
            </w:r>
          </w:p>
        </w:tc>
        <w:tc>
          <w:tcPr>
            <w:tcW w:w="1984" w:type="dxa"/>
            <w:noWrap/>
            <w:vAlign w:val="center"/>
          </w:tcPr>
          <w:p w:rsidR="00DB7C8F" w:rsidRPr="00C17967" w:rsidRDefault="00DB7C8F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276" w:type="dxa"/>
            <w:noWrap/>
            <w:vAlign w:val="center"/>
          </w:tcPr>
          <w:p w:rsidR="00DB7C8F" w:rsidRPr="00C17967" w:rsidRDefault="00DB7C8F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1</w:t>
            </w:r>
            <w:r w:rsidRPr="00FC1B44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noWrap/>
            <w:vAlign w:val="center"/>
          </w:tcPr>
          <w:p w:rsidR="00DB7C8F" w:rsidRPr="00C17967" w:rsidRDefault="00DB7C8F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Angélica</w:t>
            </w:r>
          </w:p>
        </w:tc>
        <w:tc>
          <w:tcPr>
            <w:tcW w:w="1134" w:type="dxa"/>
            <w:vAlign w:val="center"/>
          </w:tcPr>
          <w:p w:rsidR="00DB7C8F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APTO</w:t>
            </w:r>
          </w:p>
        </w:tc>
      </w:tr>
      <w:tr w:rsidR="00C74CD4" w:rsidRPr="00C17967" w:rsidTr="00A44F98">
        <w:tblPrEx>
          <w:tblLook w:val="0000"/>
        </w:tblPrEx>
        <w:trPr>
          <w:cantSplit/>
        </w:trPr>
        <w:tc>
          <w:tcPr>
            <w:tcW w:w="2552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rPr>
                <w:bCs/>
                <w:sz w:val="20"/>
                <w:szCs w:val="20"/>
              </w:rPr>
            </w:pPr>
            <w:proofErr w:type="spellStart"/>
            <w:r w:rsidRPr="00C17967">
              <w:rPr>
                <w:bCs/>
                <w:sz w:val="20"/>
                <w:szCs w:val="20"/>
              </w:rPr>
              <w:t>Claudomiro</w:t>
            </w:r>
            <w:proofErr w:type="spellEnd"/>
            <w:r w:rsidRPr="00C17967">
              <w:rPr>
                <w:bCs/>
                <w:sz w:val="20"/>
                <w:szCs w:val="20"/>
              </w:rPr>
              <w:t xml:space="preserve"> Tomaz dos Santos</w:t>
            </w:r>
          </w:p>
        </w:tc>
        <w:tc>
          <w:tcPr>
            <w:tcW w:w="1984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276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2</w:t>
            </w:r>
            <w:r w:rsidRPr="00FC1B44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C17967">
              <w:rPr>
                <w:bCs/>
                <w:sz w:val="20"/>
                <w:szCs w:val="20"/>
              </w:rPr>
              <w:t>Caarapó</w:t>
            </w:r>
            <w:proofErr w:type="spellEnd"/>
          </w:p>
        </w:tc>
        <w:tc>
          <w:tcPr>
            <w:tcW w:w="1134" w:type="dxa"/>
            <w:vAlign w:val="center"/>
          </w:tcPr>
          <w:p w:rsidR="00C74CD4" w:rsidRPr="00C17967" w:rsidRDefault="001871ED" w:rsidP="00A44F98">
            <w:pPr>
              <w:ind w:left="-28" w:right="-28"/>
              <w:jc w:val="center"/>
              <w:rPr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AUSENTE</w:t>
            </w:r>
          </w:p>
        </w:tc>
      </w:tr>
      <w:tr w:rsidR="00C74CD4" w:rsidRPr="00C17967" w:rsidTr="00A44F98">
        <w:tblPrEx>
          <w:tblLook w:val="0000"/>
        </w:tblPrEx>
        <w:trPr>
          <w:cantSplit/>
        </w:trPr>
        <w:tc>
          <w:tcPr>
            <w:tcW w:w="2552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rPr>
                <w:bCs/>
                <w:sz w:val="20"/>
                <w:szCs w:val="20"/>
              </w:rPr>
            </w:pPr>
            <w:proofErr w:type="spellStart"/>
            <w:r w:rsidRPr="00C17967">
              <w:rPr>
                <w:bCs/>
                <w:sz w:val="20"/>
                <w:szCs w:val="20"/>
              </w:rPr>
              <w:t>Diosifer</w:t>
            </w:r>
            <w:proofErr w:type="spellEnd"/>
            <w:r w:rsidRPr="00C17967">
              <w:rPr>
                <w:bCs/>
                <w:sz w:val="20"/>
                <w:szCs w:val="20"/>
              </w:rPr>
              <w:t xml:space="preserve"> Longo</w:t>
            </w:r>
          </w:p>
        </w:tc>
        <w:tc>
          <w:tcPr>
            <w:tcW w:w="1984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276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3</w:t>
            </w:r>
            <w:r w:rsidRPr="00FC1B44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C17967">
              <w:rPr>
                <w:bCs/>
                <w:sz w:val="20"/>
                <w:szCs w:val="20"/>
              </w:rPr>
              <w:t>Caarapó</w:t>
            </w:r>
            <w:proofErr w:type="spellEnd"/>
          </w:p>
        </w:tc>
        <w:tc>
          <w:tcPr>
            <w:tcW w:w="1134" w:type="dxa"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APTO</w:t>
            </w:r>
          </w:p>
        </w:tc>
      </w:tr>
      <w:tr w:rsidR="00C74CD4" w:rsidRPr="00C17967" w:rsidTr="00A44F98">
        <w:tblPrEx>
          <w:tblLook w:val="0000"/>
        </w:tblPrEx>
        <w:trPr>
          <w:cantSplit/>
        </w:trPr>
        <w:tc>
          <w:tcPr>
            <w:tcW w:w="2552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 xml:space="preserve">Fernando Rodrigo </w:t>
            </w:r>
            <w:proofErr w:type="spellStart"/>
            <w:r w:rsidRPr="00C17967">
              <w:rPr>
                <w:bCs/>
                <w:sz w:val="20"/>
                <w:szCs w:val="20"/>
              </w:rPr>
              <w:t>Pelhe</w:t>
            </w:r>
            <w:proofErr w:type="spellEnd"/>
          </w:p>
        </w:tc>
        <w:tc>
          <w:tcPr>
            <w:tcW w:w="1984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276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2</w:t>
            </w:r>
            <w:r w:rsidRPr="00FC1B44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C17967">
              <w:rPr>
                <w:bCs/>
                <w:sz w:val="20"/>
                <w:szCs w:val="20"/>
              </w:rPr>
              <w:t>Jateí</w:t>
            </w:r>
            <w:proofErr w:type="spellEnd"/>
          </w:p>
        </w:tc>
        <w:tc>
          <w:tcPr>
            <w:tcW w:w="1134" w:type="dxa"/>
            <w:vAlign w:val="center"/>
          </w:tcPr>
          <w:p w:rsidR="00C74CD4" w:rsidRPr="00C17967" w:rsidRDefault="001871ED" w:rsidP="00A44F98">
            <w:pPr>
              <w:ind w:left="-28" w:right="-28"/>
              <w:jc w:val="center"/>
              <w:rPr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AUSENTE</w:t>
            </w:r>
          </w:p>
        </w:tc>
      </w:tr>
      <w:tr w:rsidR="00C74CD4" w:rsidRPr="00C17967" w:rsidTr="00A44F98">
        <w:tblPrEx>
          <w:tblLook w:val="0000"/>
        </w:tblPrEx>
        <w:trPr>
          <w:cantSplit/>
        </w:trPr>
        <w:tc>
          <w:tcPr>
            <w:tcW w:w="2552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rPr>
                <w:bCs/>
                <w:sz w:val="20"/>
                <w:szCs w:val="20"/>
              </w:rPr>
            </w:pPr>
            <w:proofErr w:type="spellStart"/>
            <w:r w:rsidRPr="00C17967">
              <w:rPr>
                <w:bCs/>
                <w:sz w:val="20"/>
                <w:szCs w:val="20"/>
              </w:rPr>
              <w:t>Luizmar</w:t>
            </w:r>
            <w:proofErr w:type="spellEnd"/>
            <w:r w:rsidRPr="00C17967">
              <w:rPr>
                <w:bCs/>
                <w:sz w:val="20"/>
                <w:szCs w:val="20"/>
              </w:rPr>
              <w:t xml:space="preserve"> Ferreira Nunes</w:t>
            </w:r>
          </w:p>
        </w:tc>
        <w:tc>
          <w:tcPr>
            <w:tcW w:w="1984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276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2</w:t>
            </w:r>
            <w:r w:rsidRPr="00FC1B44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C17967">
              <w:rPr>
                <w:bCs/>
                <w:sz w:val="20"/>
                <w:szCs w:val="20"/>
              </w:rPr>
              <w:t>Juti</w:t>
            </w:r>
            <w:proofErr w:type="spellEnd"/>
          </w:p>
        </w:tc>
        <w:tc>
          <w:tcPr>
            <w:tcW w:w="1134" w:type="dxa"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APTO</w:t>
            </w:r>
          </w:p>
        </w:tc>
      </w:tr>
      <w:tr w:rsidR="00C74CD4" w:rsidRPr="00C17967" w:rsidTr="00A44F98">
        <w:tblPrEx>
          <w:tblLook w:val="0000"/>
        </w:tblPrEx>
        <w:trPr>
          <w:cantSplit/>
        </w:trPr>
        <w:tc>
          <w:tcPr>
            <w:tcW w:w="2552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Nelson Marques de Carvalho</w:t>
            </w:r>
          </w:p>
        </w:tc>
        <w:tc>
          <w:tcPr>
            <w:tcW w:w="1984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276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4</w:t>
            </w:r>
            <w:r w:rsidRPr="00FC1B44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C17967">
              <w:rPr>
                <w:bCs/>
                <w:sz w:val="20"/>
                <w:szCs w:val="20"/>
              </w:rPr>
              <w:t>Caarapó</w:t>
            </w:r>
            <w:proofErr w:type="spellEnd"/>
          </w:p>
        </w:tc>
        <w:tc>
          <w:tcPr>
            <w:tcW w:w="1134" w:type="dxa"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APTO</w:t>
            </w:r>
          </w:p>
        </w:tc>
      </w:tr>
      <w:tr w:rsidR="00C74CD4" w:rsidRPr="00C17967" w:rsidTr="00A44F98">
        <w:tblPrEx>
          <w:tblLook w:val="0000"/>
        </w:tblPrEx>
        <w:trPr>
          <w:cantSplit/>
        </w:trPr>
        <w:tc>
          <w:tcPr>
            <w:tcW w:w="2552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Ana Patrícia da Cruz</w:t>
            </w:r>
          </w:p>
        </w:tc>
        <w:tc>
          <w:tcPr>
            <w:tcW w:w="1984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Assistente Administrativo</w:t>
            </w:r>
          </w:p>
        </w:tc>
        <w:tc>
          <w:tcPr>
            <w:tcW w:w="1276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29</w:t>
            </w:r>
            <w:r w:rsidRPr="00FC1B44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Campo Grande</w:t>
            </w:r>
          </w:p>
        </w:tc>
        <w:tc>
          <w:tcPr>
            <w:tcW w:w="1134" w:type="dxa"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APTO</w:t>
            </w:r>
          </w:p>
        </w:tc>
      </w:tr>
      <w:tr w:rsidR="00C74CD4" w:rsidRPr="00C17967" w:rsidTr="00A44F98">
        <w:tblPrEx>
          <w:tblLook w:val="0000"/>
        </w:tblPrEx>
        <w:trPr>
          <w:cantSplit/>
        </w:trPr>
        <w:tc>
          <w:tcPr>
            <w:tcW w:w="2552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Antonio Moreno Filho</w:t>
            </w:r>
          </w:p>
        </w:tc>
        <w:tc>
          <w:tcPr>
            <w:tcW w:w="1984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276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2</w:t>
            </w:r>
            <w:r w:rsidRPr="00FC1B44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Tacuru</w:t>
            </w:r>
          </w:p>
        </w:tc>
        <w:tc>
          <w:tcPr>
            <w:tcW w:w="1134" w:type="dxa"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APTO</w:t>
            </w:r>
          </w:p>
        </w:tc>
      </w:tr>
      <w:tr w:rsidR="00C74CD4" w:rsidRPr="00C17967" w:rsidTr="00A44F98">
        <w:tblPrEx>
          <w:tblLook w:val="0000"/>
        </w:tblPrEx>
        <w:trPr>
          <w:cantSplit/>
        </w:trPr>
        <w:tc>
          <w:tcPr>
            <w:tcW w:w="2552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Cleber do Carmo Oliveira Nascimento</w:t>
            </w:r>
          </w:p>
        </w:tc>
        <w:tc>
          <w:tcPr>
            <w:tcW w:w="1984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276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5</w:t>
            </w:r>
            <w:r w:rsidRPr="00FC1B44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C17967">
              <w:rPr>
                <w:bCs/>
                <w:sz w:val="20"/>
                <w:szCs w:val="20"/>
              </w:rPr>
              <w:t>Naviraí</w:t>
            </w:r>
            <w:proofErr w:type="spellEnd"/>
          </w:p>
        </w:tc>
        <w:tc>
          <w:tcPr>
            <w:tcW w:w="1134" w:type="dxa"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APTO</w:t>
            </w:r>
          </w:p>
        </w:tc>
      </w:tr>
      <w:tr w:rsidR="00C74CD4" w:rsidRPr="00C17967" w:rsidTr="00A44F98">
        <w:tblPrEx>
          <w:tblLook w:val="0000"/>
        </w:tblPrEx>
        <w:trPr>
          <w:cantSplit/>
        </w:trPr>
        <w:tc>
          <w:tcPr>
            <w:tcW w:w="2552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 xml:space="preserve">Elcio </w:t>
            </w:r>
            <w:proofErr w:type="spellStart"/>
            <w:r w:rsidRPr="00C17967">
              <w:rPr>
                <w:bCs/>
                <w:sz w:val="20"/>
                <w:szCs w:val="20"/>
              </w:rPr>
              <w:t>Araldo</w:t>
            </w:r>
            <w:proofErr w:type="spellEnd"/>
          </w:p>
        </w:tc>
        <w:tc>
          <w:tcPr>
            <w:tcW w:w="1984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276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6</w:t>
            </w:r>
            <w:r w:rsidRPr="00FC1B44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Nova Andradina</w:t>
            </w:r>
          </w:p>
        </w:tc>
        <w:tc>
          <w:tcPr>
            <w:tcW w:w="1134" w:type="dxa"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APTO</w:t>
            </w:r>
          </w:p>
        </w:tc>
      </w:tr>
      <w:tr w:rsidR="00C74CD4" w:rsidRPr="00C17967" w:rsidTr="00A44F98">
        <w:tblPrEx>
          <w:tblLook w:val="0000"/>
        </w:tblPrEx>
        <w:trPr>
          <w:cantSplit/>
        </w:trPr>
        <w:tc>
          <w:tcPr>
            <w:tcW w:w="2552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 xml:space="preserve">Frederico Cavalcante </w:t>
            </w:r>
            <w:proofErr w:type="spellStart"/>
            <w:r w:rsidRPr="00C17967">
              <w:rPr>
                <w:bCs/>
                <w:sz w:val="20"/>
                <w:szCs w:val="20"/>
              </w:rPr>
              <w:t>Ogura</w:t>
            </w:r>
            <w:proofErr w:type="spellEnd"/>
          </w:p>
        </w:tc>
        <w:tc>
          <w:tcPr>
            <w:tcW w:w="1984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Assistente Comercial</w:t>
            </w:r>
          </w:p>
        </w:tc>
        <w:tc>
          <w:tcPr>
            <w:tcW w:w="1276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1</w:t>
            </w:r>
            <w:r w:rsidRPr="00FC1B44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Nova Andradina</w:t>
            </w:r>
          </w:p>
        </w:tc>
        <w:tc>
          <w:tcPr>
            <w:tcW w:w="1134" w:type="dxa"/>
            <w:vAlign w:val="center"/>
          </w:tcPr>
          <w:p w:rsidR="00C74CD4" w:rsidRPr="00C17967" w:rsidRDefault="001871ED" w:rsidP="00A44F98">
            <w:pPr>
              <w:ind w:left="-28" w:right="-28"/>
              <w:jc w:val="center"/>
              <w:rPr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AUSENTE</w:t>
            </w:r>
          </w:p>
        </w:tc>
      </w:tr>
      <w:tr w:rsidR="00C74CD4" w:rsidRPr="00C17967" w:rsidTr="00A44F98">
        <w:tblPrEx>
          <w:tblLook w:val="0000"/>
        </w:tblPrEx>
        <w:trPr>
          <w:cantSplit/>
        </w:trPr>
        <w:tc>
          <w:tcPr>
            <w:tcW w:w="2552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Yan Marcel Rodrigues Araújo</w:t>
            </w:r>
          </w:p>
        </w:tc>
        <w:tc>
          <w:tcPr>
            <w:tcW w:w="1984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Assistente Administrativo</w:t>
            </w:r>
          </w:p>
        </w:tc>
        <w:tc>
          <w:tcPr>
            <w:tcW w:w="1276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28</w:t>
            </w:r>
            <w:r w:rsidRPr="00FC1B44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Campo Grande</w:t>
            </w:r>
          </w:p>
        </w:tc>
        <w:tc>
          <w:tcPr>
            <w:tcW w:w="1134" w:type="dxa"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APTO</w:t>
            </w:r>
          </w:p>
        </w:tc>
      </w:tr>
      <w:tr w:rsidR="00C74CD4" w:rsidRPr="00C17967" w:rsidTr="00A44F98">
        <w:tblPrEx>
          <w:tblLook w:val="0000"/>
        </w:tblPrEx>
        <w:trPr>
          <w:cantSplit/>
        </w:trPr>
        <w:tc>
          <w:tcPr>
            <w:tcW w:w="2552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 xml:space="preserve">Christiano João </w:t>
            </w:r>
            <w:proofErr w:type="spellStart"/>
            <w:r w:rsidRPr="00C17967">
              <w:rPr>
                <w:bCs/>
                <w:sz w:val="20"/>
                <w:szCs w:val="20"/>
              </w:rPr>
              <w:t>Leli</w:t>
            </w:r>
            <w:proofErr w:type="spellEnd"/>
          </w:p>
        </w:tc>
        <w:tc>
          <w:tcPr>
            <w:tcW w:w="1984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Assistente Comercial</w:t>
            </w:r>
          </w:p>
        </w:tc>
        <w:tc>
          <w:tcPr>
            <w:tcW w:w="1276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1</w:t>
            </w:r>
            <w:r w:rsidRPr="00FC1B44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Rio Brilhante</w:t>
            </w:r>
          </w:p>
        </w:tc>
        <w:tc>
          <w:tcPr>
            <w:tcW w:w="1134" w:type="dxa"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APTO</w:t>
            </w:r>
          </w:p>
        </w:tc>
      </w:tr>
      <w:tr w:rsidR="00C74CD4" w:rsidRPr="00C17967" w:rsidTr="00A44F98">
        <w:tblPrEx>
          <w:tblLook w:val="0000"/>
        </w:tblPrEx>
        <w:trPr>
          <w:cantSplit/>
        </w:trPr>
        <w:tc>
          <w:tcPr>
            <w:tcW w:w="2552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Fernando Rodrigo Santiago Crespo Brito</w:t>
            </w:r>
          </w:p>
        </w:tc>
        <w:tc>
          <w:tcPr>
            <w:tcW w:w="1984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Encanador</w:t>
            </w:r>
          </w:p>
        </w:tc>
        <w:tc>
          <w:tcPr>
            <w:tcW w:w="1276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2</w:t>
            </w:r>
            <w:r w:rsidRPr="00FC1B44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Dois Irmãos</w:t>
            </w:r>
            <w:r w:rsidR="00155904" w:rsidRPr="00C17967">
              <w:rPr>
                <w:bCs/>
                <w:sz w:val="20"/>
                <w:szCs w:val="20"/>
              </w:rPr>
              <w:t xml:space="preserve"> do Buriti</w:t>
            </w:r>
          </w:p>
        </w:tc>
        <w:tc>
          <w:tcPr>
            <w:tcW w:w="1134" w:type="dxa"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APTO</w:t>
            </w:r>
          </w:p>
        </w:tc>
      </w:tr>
      <w:tr w:rsidR="00C74CD4" w:rsidRPr="00C17967" w:rsidTr="00A44F98">
        <w:tblPrEx>
          <w:tblLook w:val="0000"/>
        </w:tblPrEx>
        <w:trPr>
          <w:cantSplit/>
        </w:trPr>
        <w:tc>
          <w:tcPr>
            <w:tcW w:w="2552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rPr>
                <w:bCs/>
                <w:sz w:val="20"/>
                <w:szCs w:val="20"/>
              </w:rPr>
            </w:pPr>
            <w:proofErr w:type="spellStart"/>
            <w:r w:rsidRPr="00C17967">
              <w:rPr>
                <w:bCs/>
                <w:sz w:val="20"/>
                <w:szCs w:val="20"/>
              </w:rPr>
              <w:t>Marcia</w:t>
            </w:r>
            <w:proofErr w:type="spellEnd"/>
            <w:r w:rsidRPr="00C17967">
              <w:rPr>
                <w:bCs/>
                <w:sz w:val="20"/>
                <w:szCs w:val="20"/>
              </w:rPr>
              <w:t xml:space="preserve"> Ieda Maciel</w:t>
            </w:r>
          </w:p>
        </w:tc>
        <w:tc>
          <w:tcPr>
            <w:tcW w:w="1984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276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4</w:t>
            </w:r>
            <w:r w:rsidRPr="00FC1B44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Corumbá</w:t>
            </w:r>
          </w:p>
        </w:tc>
        <w:tc>
          <w:tcPr>
            <w:tcW w:w="1134" w:type="dxa"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APTO</w:t>
            </w:r>
          </w:p>
        </w:tc>
      </w:tr>
      <w:tr w:rsidR="00C74CD4" w:rsidRPr="00C17967" w:rsidTr="00A44F98">
        <w:tblPrEx>
          <w:tblLook w:val="0000"/>
        </w:tblPrEx>
        <w:trPr>
          <w:cantSplit/>
        </w:trPr>
        <w:tc>
          <w:tcPr>
            <w:tcW w:w="2552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Valéria Vasconcelos Vieira</w:t>
            </w:r>
          </w:p>
        </w:tc>
        <w:tc>
          <w:tcPr>
            <w:tcW w:w="1984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276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2</w:t>
            </w:r>
            <w:r w:rsidRPr="00FC1B44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noWrap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 xml:space="preserve">Aparecida do </w:t>
            </w:r>
            <w:proofErr w:type="spellStart"/>
            <w:r w:rsidRPr="00C17967">
              <w:rPr>
                <w:bCs/>
                <w:sz w:val="20"/>
                <w:szCs w:val="20"/>
              </w:rPr>
              <w:t>Taboado</w:t>
            </w:r>
            <w:proofErr w:type="spellEnd"/>
          </w:p>
        </w:tc>
        <w:tc>
          <w:tcPr>
            <w:tcW w:w="1134" w:type="dxa"/>
            <w:vAlign w:val="center"/>
          </w:tcPr>
          <w:p w:rsidR="00C74CD4" w:rsidRPr="00C17967" w:rsidRDefault="00C74CD4" w:rsidP="00A44F98">
            <w:pPr>
              <w:ind w:left="-28" w:right="-28"/>
              <w:jc w:val="center"/>
              <w:rPr>
                <w:sz w:val="20"/>
                <w:szCs w:val="20"/>
              </w:rPr>
            </w:pPr>
            <w:r w:rsidRPr="00C17967">
              <w:rPr>
                <w:bCs/>
                <w:sz w:val="20"/>
                <w:szCs w:val="20"/>
              </w:rPr>
              <w:t>APTO</w:t>
            </w:r>
          </w:p>
        </w:tc>
      </w:tr>
    </w:tbl>
    <w:p w:rsidR="00146ED9" w:rsidRDefault="00146ED9" w:rsidP="00DF4AE9">
      <w:pPr>
        <w:pStyle w:val="Recuodecorpodetexto"/>
        <w:ind w:firstLine="1701"/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984"/>
        <w:gridCol w:w="1276"/>
        <w:gridCol w:w="1559"/>
        <w:gridCol w:w="1134"/>
      </w:tblGrid>
      <w:tr w:rsidR="00DF4AE9" w:rsidRPr="00DF4AE9" w:rsidTr="00DF4AE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4AE9" w:rsidRPr="00DF4AE9" w:rsidRDefault="00DF4AE9" w:rsidP="00DF4AE9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DF4AE9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4AE9" w:rsidRPr="00DF4AE9" w:rsidRDefault="00DF4AE9" w:rsidP="00DF4AE9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DF4AE9">
              <w:rPr>
                <w:b/>
                <w:bCs/>
                <w:sz w:val="20"/>
                <w:szCs w:val="20"/>
              </w:rPr>
              <w:t>Emprego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4AE9" w:rsidRPr="00DF4AE9" w:rsidRDefault="00DF4AE9" w:rsidP="00DF4AE9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DF4AE9">
              <w:rPr>
                <w:b/>
                <w:bCs/>
                <w:sz w:val="20"/>
                <w:szCs w:val="20"/>
              </w:rPr>
              <w:t>Pontuação</w:t>
            </w:r>
          </w:p>
          <w:p w:rsidR="00DF4AE9" w:rsidRPr="00DF4AE9" w:rsidRDefault="00DF4AE9" w:rsidP="00DF4AE9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DF4AE9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DF4AE9">
              <w:rPr>
                <w:b/>
                <w:bCs/>
                <w:sz w:val="20"/>
                <w:szCs w:val="20"/>
              </w:rPr>
              <w:t>Class</w:t>
            </w:r>
            <w:proofErr w:type="spellEnd"/>
            <w:r w:rsidRPr="00DF4AE9">
              <w:rPr>
                <w:b/>
                <w:bCs/>
                <w:sz w:val="20"/>
                <w:szCs w:val="20"/>
              </w:rPr>
              <w:t>. Geral)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4AE9" w:rsidRPr="00DF4AE9" w:rsidRDefault="00DF4AE9" w:rsidP="00DF4AE9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DF4AE9">
              <w:rPr>
                <w:b/>
                <w:bCs/>
                <w:sz w:val="20"/>
                <w:szCs w:val="20"/>
              </w:rPr>
              <w:t>Localidade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4AE9" w:rsidRPr="00DF4AE9" w:rsidRDefault="00DF4AE9" w:rsidP="00DF4AE9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DF4AE9">
              <w:rPr>
                <w:b/>
                <w:bCs/>
                <w:sz w:val="20"/>
                <w:szCs w:val="20"/>
              </w:rPr>
              <w:t>Resultado</w:t>
            </w:r>
          </w:p>
        </w:tc>
      </w:tr>
      <w:tr w:rsidR="00DF4AE9" w:rsidRPr="00C17967" w:rsidTr="00DF4AE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AE9" w:rsidRPr="00DF4AE9" w:rsidRDefault="00DF4AE9" w:rsidP="00DF4AE9">
            <w:pPr>
              <w:ind w:left="-28" w:right="-28"/>
              <w:rPr>
                <w:bCs/>
                <w:sz w:val="20"/>
                <w:szCs w:val="20"/>
              </w:rPr>
            </w:pPr>
            <w:proofErr w:type="spellStart"/>
            <w:r w:rsidRPr="00DF4AE9">
              <w:rPr>
                <w:bCs/>
                <w:sz w:val="20"/>
                <w:szCs w:val="20"/>
              </w:rPr>
              <w:t>Rosyvane</w:t>
            </w:r>
            <w:proofErr w:type="spellEnd"/>
            <w:r w:rsidRPr="00DF4A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F4AE9">
              <w:rPr>
                <w:bCs/>
                <w:sz w:val="20"/>
                <w:szCs w:val="20"/>
              </w:rPr>
              <w:t>Arguelho</w:t>
            </w:r>
            <w:proofErr w:type="spellEnd"/>
            <w:r w:rsidRPr="00DF4AE9">
              <w:rPr>
                <w:bCs/>
                <w:sz w:val="20"/>
                <w:szCs w:val="20"/>
              </w:rPr>
              <w:t xml:space="preserve"> Vasques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AE9" w:rsidRPr="00DF4AE9" w:rsidRDefault="00DF4AE9" w:rsidP="00DF4AE9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DF4AE9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AE9" w:rsidRPr="00DF4AE9" w:rsidRDefault="00DF4AE9" w:rsidP="00DF4AE9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DF4AE9"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AE9" w:rsidRPr="00DF4AE9" w:rsidRDefault="00DF4AE9" w:rsidP="00DF4AE9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DF4AE9">
              <w:rPr>
                <w:bCs/>
                <w:sz w:val="20"/>
                <w:szCs w:val="20"/>
              </w:rPr>
              <w:t>Sidrolândia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E9" w:rsidRPr="00DF4AE9" w:rsidRDefault="00DF4AE9" w:rsidP="00DF4AE9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DF4AE9">
              <w:rPr>
                <w:bCs/>
                <w:sz w:val="20"/>
                <w:szCs w:val="20"/>
              </w:rPr>
              <w:t>APTO</w:t>
            </w:r>
          </w:p>
        </w:tc>
      </w:tr>
    </w:tbl>
    <w:p w:rsidR="00DF4AE9" w:rsidRDefault="00DF4AE9" w:rsidP="00DF4AE9">
      <w:pPr>
        <w:pStyle w:val="Recuodecorpodetexto"/>
        <w:ind w:firstLine="1701"/>
      </w:pPr>
    </w:p>
    <w:sectPr w:rsidR="00DF4AE9" w:rsidSect="00C17967">
      <w:headerReference w:type="default" r:id="rId7"/>
      <w:pgSz w:w="11906" w:h="16838" w:code="9"/>
      <w:pgMar w:top="3119" w:right="1134" w:bottom="1134" w:left="2268" w:header="53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C8F" w:rsidRDefault="00DB7C8F" w:rsidP="00E73586">
      <w:r>
        <w:separator/>
      </w:r>
    </w:p>
  </w:endnote>
  <w:endnote w:type="continuationSeparator" w:id="0">
    <w:p w:rsidR="00DB7C8F" w:rsidRDefault="00DB7C8F" w:rsidP="00E7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C8F" w:rsidRDefault="00DB7C8F" w:rsidP="00E73586">
      <w:r>
        <w:separator/>
      </w:r>
    </w:p>
  </w:footnote>
  <w:footnote w:type="continuationSeparator" w:id="0">
    <w:p w:rsidR="00DB7C8F" w:rsidRDefault="00DB7C8F" w:rsidP="00E7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592" w:type="dxa"/>
      <w:tblInd w:w="-2020" w:type="dxa"/>
      <w:tblLook w:val="01E0"/>
    </w:tblPr>
    <w:tblGrid>
      <w:gridCol w:w="2232"/>
      <w:gridCol w:w="1156"/>
      <w:gridCol w:w="8204"/>
    </w:tblGrid>
    <w:tr w:rsidR="00C17967" w:rsidRPr="00480648" w:rsidTr="0029633A">
      <w:tc>
        <w:tcPr>
          <w:tcW w:w="2232" w:type="dxa"/>
          <w:tcBorders>
            <w:bottom w:val="single" w:sz="4" w:space="0" w:color="3366FF"/>
            <w:right w:val="single" w:sz="12" w:space="0" w:color="3366FF"/>
          </w:tcBorders>
          <w:vAlign w:val="center"/>
        </w:tcPr>
        <w:p w:rsidR="00C17967" w:rsidRPr="008410C2" w:rsidRDefault="00C17967" w:rsidP="0029633A">
          <w:pPr>
            <w:jc w:val="center"/>
            <w:rPr>
              <w:sz w:val="22"/>
            </w:rPr>
          </w:pPr>
        </w:p>
      </w:tc>
      <w:tc>
        <w:tcPr>
          <w:tcW w:w="1156" w:type="dxa"/>
          <w:vMerge w:val="restart"/>
          <w:tcBorders>
            <w:top w:val="single" w:sz="12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17967" w:rsidRPr="008410C2" w:rsidRDefault="00C17967" w:rsidP="0029633A">
          <w:pPr>
            <w:spacing w:before="40" w:after="10"/>
            <w:ind w:left="-102" w:right="-113"/>
            <w:jc w:val="center"/>
            <w:rPr>
              <w:sz w:val="22"/>
            </w:rPr>
          </w:pPr>
          <w:r w:rsidRPr="008410C2">
            <w:rPr>
              <w:b/>
              <w:sz w:val="22"/>
            </w:rPr>
            <w:object w:dxaOrig="5055" w:dyaOrig="55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9.8pt;height:53.6pt">
                <v:imagedata r:id="rId1" o:title="" blacklevel="3932f"/>
              </v:shape>
            </w:object>
          </w:r>
        </w:p>
      </w:tc>
      <w:tc>
        <w:tcPr>
          <w:tcW w:w="8204" w:type="dxa"/>
          <w:tcBorders>
            <w:left w:val="single" w:sz="12" w:space="0" w:color="3366FF"/>
            <w:bottom w:val="single" w:sz="4" w:space="0" w:color="3366FF"/>
          </w:tcBorders>
          <w:vAlign w:val="center"/>
        </w:tcPr>
        <w:p w:rsidR="00C17967" w:rsidRPr="008410C2" w:rsidRDefault="00C17967" w:rsidP="0029633A">
          <w:pPr>
            <w:jc w:val="center"/>
            <w:rPr>
              <w:sz w:val="22"/>
            </w:rPr>
          </w:pPr>
        </w:p>
      </w:tc>
    </w:tr>
    <w:tr w:rsidR="00C17967" w:rsidRPr="008410C2" w:rsidTr="0029633A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17967" w:rsidRPr="008410C2" w:rsidRDefault="00C17967" w:rsidP="0029633A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17967" w:rsidRPr="008410C2" w:rsidRDefault="00C17967" w:rsidP="0029633A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C17967" w:rsidRPr="008410C2" w:rsidRDefault="00C17967" w:rsidP="0029633A">
          <w:pPr>
            <w:jc w:val="center"/>
            <w:rPr>
              <w:sz w:val="5"/>
              <w:szCs w:val="5"/>
            </w:rPr>
          </w:pPr>
        </w:p>
      </w:tc>
    </w:tr>
    <w:tr w:rsidR="00C17967" w:rsidRPr="008410C2" w:rsidTr="0029633A">
      <w:trPr>
        <w:trHeight w:val="79"/>
      </w:trPr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17967" w:rsidRPr="008410C2" w:rsidRDefault="00C17967" w:rsidP="0029633A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17967" w:rsidRPr="008410C2" w:rsidRDefault="00C17967" w:rsidP="0029633A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C17967" w:rsidRPr="008410C2" w:rsidRDefault="00C17967" w:rsidP="0029633A">
          <w:pPr>
            <w:jc w:val="center"/>
            <w:rPr>
              <w:sz w:val="5"/>
              <w:szCs w:val="5"/>
            </w:rPr>
          </w:pPr>
        </w:p>
      </w:tc>
    </w:tr>
    <w:tr w:rsidR="00C17967" w:rsidRPr="008410C2" w:rsidTr="0029633A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17967" w:rsidRPr="008410C2" w:rsidRDefault="00C17967" w:rsidP="0029633A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17967" w:rsidRPr="008410C2" w:rsidRDefault="00C17967" w:rsidP="0029633A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C17967" w:rsidRPr="008410C2" w:rsidRDefault="00C17967" w:rsidP="0029633A">
          <w:pPr>
            <w:jc w:val="center"/>
            <w:rPr>
              <w:sz w:val="5"/>
              <w:szCs w:val="5"/>
            </w:rPr>
          </w:pPr>
        </w:p>
      </w:tc>
    </w:tr>
    <w:tr w:rsidR="00C17967" w:rsidRPr="008410C2" w:rsidTr="0029633A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17967" w:rsidRPr="008410C2" w:rsidRDefault="00C17967" w:rsidP="0029633A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17967" w:rsidRPr="008410C2" w:rsidRDefault="00C17967" w:rsidP="0029633A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C17967" w:rsidRPr="008410C2" w:rsidRDefault="00C17967" w:rsidP="0029633A">
          <w:pPr>
            <w:jc w:val="center"/>
            <w:rPr>
              <w:sz w:val="5"/>
              <w:szCs w:val="5"/>
            </w:rPr>
          </w:pPr>
        </w:p>
      </w:tc>
    </w:tr>
    <w:tr w:rsidR="00C17967" w:rsidRPr="008410C2" w:rsidTr="0029633A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17967" w:rsidRPr="008410C2" w:rsidRDefault="00C17967" w:rsidP="0029633A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17967" w:rsidRPr="008410C2" w:rsidRDefault="00C17967" w:rsidP="0029633A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C17967" w:rsidRPr="008410C2" w:rsidRDefault="00C17967" w:rsidP="0029633A">
          <w:pPr>
            <w:jc w:val="center"/>
            <w:rPr>
              <w:sz w:val="5"/>
              <w:szCs w:val="5"/>
            </w:rPr>
          </w:pPr>
        </w:p>
      </w:tc>
    </w:tr>
    <w:tr w:rsidR="00C17967" w:rsidRPr="008410C2" w:rsidTr="0029633A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17967" w:rsidRPr="008410C2" w:rsidRDefault="00C17967" w:rsidP="0029633A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17967" w:rsidRPr="008410C2" w:rsidRDefault="00C17967" w:rsidP="0029633A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C17967" w:rsidRPr="008410C2" w:rsidRDefault="00C17967" w:rsidP="0029633A">
          <w:pPr>
            <w:jc w:val="center"/>
            <w:rPr>
              <w:sz w:val="5"/>
              <w:szCs w:val="5"/>
            </w:rPr>
          </w:pPr>
        </w:p>
      </w:tc>
    </w:tr>
    <w:tr w:rsidR="00C17967" w:rsidRPr="008410C2" w:rsidTr="0029633A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17967" w:rsidRPr="008410C2" w:rsidRDefault="00C17967" w:rsidP="0029633A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17967" w:rsidRPr="008410C2" w:rsidRDefault="00C17967" w:rsidP="0029633A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C17967" w:rsidRPr="008410C2" w:rsidRDefault="00C17967" w:rsidP="0029633A">
          <w:pPr>
            <w:jc w:val="center"/>
            <w:rPr>
              <w:sz w:val="5"/>
              <w:szCs w:val="5"/>
            </w:rPr>
          </w:pPr>
        </w:p>
      </w:tc>
    </w:tr>
    <w:tr w:rsidR="00C17967" w:rsidRPr="008410C2" w:rsidTr="0029633A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17967" w:rsidRPr="008410C2" w:rsidRDefault="00C17967" w:rsidP="0029633A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17967" w:rsidRPr="008410C2" w:rsidRDefault="00C17967" w:rsidP="0029633A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C17967" w:rsidRPr="008410C2" w:rsidRDefault="00C17967" w:rsidP="0029633A">
          <w:pPr>
            <w:jc w:val="center"/>
            <w:rPr>
              <w:sz w:val="5"/>
              <w:szCs w:val="5"/>
            </w:rPr>
          </w:pPr>
        </w:p>
      </w:tc>
    </w:tr>
    <w:tr w:rsidR="00C17967" w:rsidRPr="008410C2" w:rsidTr="0029633A">
      <w:tc>
        <w:tcPr>
          <w:tcW w:w="2232" w:type="dxa"/>
          <w:tcBorders>
            <w:top w:val="single" w:sz="4" w:space="0" w:color="3366FF"/>
            <w:right w:val="single" w:sz="12" w:space="0" w:color="3366FF"/>
          </w:tcBorders>
          <w:vAlign w:val="center"/>
        </w:tcPr>
        <w:p w:rsidR="00C17967" w:rsidRPr="008410C2" w:rsidRDefault="00C17967" w:rsidP="0029633A">
          <w:pPr>
            <w:jc w:val="center"/>
            <w:rPr>
              <w:sz w:val="20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12" w:space="0" w:color="3366FF"/>
            <w:right w:val="single" w:sz="12" w:space="0" w:color="3366FF"/>
          </w:tcBorders>
          <w:vAlign w:val="center"/>
        </w:tcPr>
        <w:p w:rsidR="00C17967" w:rsidRPr="008410C2" w:rsidRDefault="00C17967" w:rsidP="0029633A">
          <w:pPr>
            <w:ind w:left="-113" w:right="-113"/>
            <w:jc w:val="center"/>
            <w:rPr>
              <w:sz w:val="20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</w:tcBorders>
          <w:vAlign w:val="center"/>
        </w:tcPr>
        <w:p w:rsidR="00C17967" w:rsidRPr="008410C2" w:rsidRDefault="00C17967" w:rsidP="0029633A">
          <w:pPr>
            <w:jc w:val="center"/>
            <w:rPr>
              <w:sz w:val="20"/>
            </w:rPr>
          </w:pPr>
        </w:p>
      </w:tc>
    </w:tr>
  </w:tbl>
  <w:p w:rsidR="00C17967" w:rsidRPr="00510309" w:rsidRDefault="00C17967" w:rsidP="00C17967">
    <w:pPr>
      <w:spacing w:before="160" w:after="40"/>
      <w:rPr>
        <w:rFonts w:ascii="Arial" w:hAnsi="Arial" w:cs="Arial"/>
        <w:b/>
        <w:color w:val="3366FF"/>
        <w:sz w:val="20"/>
        <w:szCs w:val="18"/>
      </w:rPr>
    </w:pPr>
    <w:r w:rsidRPr="00510309">
      <w:rPr>
        <w:rFonts w:ascii="Arial" w:hAnsi="Arial" w:cs="Arial"/>
        <w:b/>
        <w:color w:val="3366FF"/>
        <w:sz w:val="20"/>
        <w:szCs w:val="18"/>
      </w:rPr>
      <w:t>GOVERNO DO ESTADO DE MATO GROSSO DO SUL</w:t>
    </w:r>
    <w:r w:rsidRPr="00510309">
      <w:rPr>
        <w:rFonts w:ascii="Arial" w:hAnsi="Arial" w:cs="Arial"/>
        <w:b/>
        <w:color w:val="3366FF"/>
        <w:sz w:val="20"/>
        <w:szCs w:val="18"/>
      </w:rPr>
      <w:br/>
      <w:t>SECRETARIA DE ESTADO DE ADMINISTRAÇÃO</w:t>
    </w:r>
  </w:p>
  <w:p w:rsidR="00C17967" w:rsidRDefault="00C17967" w:rsidP="00C1796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776"/>
    <w:rsid w:val="00060BE0"/>
    <w:rsid w:val="0007367B"/>
    <w:rsid w:val="00091FCC"/>
    <w:rsid w:val="000D286E"/>
    <w:rsid w:val="0010430F"/>
    <w:rsid w:val="00107C81"/>
    <w:rsid w:val="00110776"/>
    <w:rsid w:val="00146ED9"/>
    <w:rsid w:val="00155092"/>
    <w:rsid w:val="00155904"/>
    <w:rsid w:val="001871ED"/>
    <w:rsid w:val="001A6984"/>
    <w:rsid w:val="001B6466"/>
    <w:rsid w:val="001D0A08"/>
    <w:rsid w:val="002020B2"/>
    <w:rsid w:val="00221932"/>
    <w:rsid w:val="00260EDA"/>
    <w:rsid w:val="00267954"/>
    <w:rsid w:val="00292E5C"/>
    <w:rsid w:val="002A25E1"/>
    <w:rsid w:val="002F2022"/>
    <w:rsid w:val="00303175"/>
    <w:rsid w:val="003B55DB"/>
    <w:rsid w:val="004001D8"/>
    <w:rsid w:val="00475FB8"/>
    <w:rsid w:val="005B56A3"/>
    <w:rsid w:val="005E1F5D"/>
    <w:rsid w:val="005F3B44"/>
    <w:rsid w:val="006A53CA"/>
    <w:rsid w:val="006A5E5D"/>
    <w:rsid w:val="006B1B55"/>
    <w:rsid w:val="006D0333"/>
    <w:rsid w:val="006D5AE2"/>
    <w:rsid w:val="006F461D"/>
    <w:rsid w:val="007A1055"/>
    <w:rsid w:val="007A7D49"/>
    <w:rsid w:val="007C37C8"/>
    <w:rsid w:val="007F45DC"/>
    <w:rsid w:val="008200E8"/>
    <w:rsid w:val="00824C77"/>
    <w:rsid w:val="008C209C"/>
    <w:rsid w:val="008C4949"/>
    <w:rsid w:val="00947BDF"/>
    <w:rsid w:val="009661B8"/>
    <w:rsid w:val="00984503"/>
    <w:rsid w:val="009A24BE"/>
    <w:rsid w:val="009E6CB5"/>
    <w:rsid w:val="00A11B5B"/>
    <w:rsid w:val="00A17B87"/>
    <w:rsid w:val="00A25714"/>
    <w:rsid w:val="00A44F98"/>
    <w:rsid w:val="00A64441"/>
    <w:rsid w:val="00A64D55"/>
    <w:rsid w:val="00AA4560"/>
    <w:rsid w:val="00AD0CC6"/>
    <w:rsid w:val="00AD40AA"/>
    <w:rsid w:val="00B040F3"/>
    <w:rsid w:val="00B21211"/>
    <w:rsid w:val="00B4265F"/>
    <w:rsid w:val="00B7241C"/>
    <w:rsid w:val="00B75F5C"/>
    <w:rsid w:val="00B82C1E"/>
    <w:rsid w:val="00BB3E24"/>
    <w:rsid w:val="00BC4F2F"/>
    <w:rsid w:val="00BE0913"/>
    <w:rsid w:val="00BE594D"/>
    <w:rsid w:val="00C17967"/>
    <w:rsid w:val="00C63EE1"/>
    <w:rsid w:val="00C74CD4"/>
    <w:rsid w:val="00CA5200"/>
    <w:rsid w:val="00CD0A15"/>
    <w:rsid w:val="00CD3A0F"/>
    <w:rsid w:val="00D265FA"/>
    <w:rsid w:val="00D30B2E"/>
    <w:rsid w:val="00D3534D"/>
    <w:rsid w:val="00D66F4E"/>
    <w:rsid w:val="00D71B70"/>
    <w:rsid w:val="00D82C6E"/>
    <w:rsid w:val="00DA3229"/>
    <w:rsid w:val="00DB7C8F"/>
    <w:rsid w:val="00DF179A"/>
    <w:rsid w:val="00DF4AE9"/>
    <w:rsid w:val="00E05783"/>
    <w:rsid w:val="00E2797F"/>
    <w:rsid w:val="00E73586"/>
    <w:rsid w:val="00E83810"/>
    <w:rsid w:val="00F3243F"/>
    <w:rsid w:val="00F3345F"/>
    <w:rsid w:val="00F764FB"/>
    <w:rsid w:val="00F939CC"/>
    <w:rsid w:val="00FC1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7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1055"/>
    <w:pPr>
      <w:tabs>
        <w:tab w:val="center" w:pos="4419"/>
        <w:tab w:val="right" w:pos="8838"/>
      </w:tabs>
    </w:pPr>
    <w:rPr>
      <w:rFonts w:eastAsia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A1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A1055"/>
    <w:pPr>
      <w:ind w:firstLine="1980"/>
      <w:jc w:val="both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A105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A17B8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17B8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35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3586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83F7C-18B6-408C-A6EE-28AF9461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SGI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Rsilveira</dc:creator>
  <cp:keywords/>
  <dc:description/>
  <cp:lastModifiedBy>Wcruz</cp:lastModifiedBy>
  <cp:revision>12</cp:revision>
  <cp:lastPrinted>2012-06-15T21:06:00Z</cp:lastPrinted>
  <dcterms:created xsi:type="dcterms:W3CDTF">2012-06-15T20:20:00Z</dcterms:created>
  <dcterms:modified xsi:type="dcterms:W3CDTF">2012-06-15T21:06:00Z</dcterms:modified>
</cp:coreProperties>
</file>